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0089" w14:textId="19334E84" w:rsidR="001973BA" w:rsidRPr="00BB6CCA" w:rsidRDefault="00E46903" w:rsidP="0014408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Bat</w:t>
      </w:r>
      <w:r w:rsidR="00144083" w:rsidRPr="00BB6CCA">
        <w:rPr>
          <w:b/>
          <w:sz w:val="32"/>
          <w:szCs w:val="32"/>
          <w:u w:val="single"/>
        </w:rPr>
        <w:t xml:space="preserve"> Check Protocol – Quick Reference:</w:t>
      </w:r>
    </w:p>
    <w:p w14:paraId="63E470D1" w14:textId="77777777" w:rsidR="00144083" w:rsidRDefault="00144083" w:rsidP="00144083">
      <w:pPr>
        <w:jc w:val="center"/>
        <w:rPr>
          <w:sz w:val="32"/>
          <w:szCs w:val="32"/>
        </w:rPr>
      </w:pPr>
    </w:p>
    <w:p w14:paraId="4DC8F53D" w14:textId="77777777" w:rsidR="00144083" w:rsidRPr="00BB6CCA" w:rsidRDefault="00144083" w:rsidP="00144083">
      <w:pPr>
        <w:rPr>
          <w:b/>
          <w:i/>
          <w:sz w:val="32"/>
          <w:szCs w:val="32"/>
        </w:rPr>
      </w:pPr>
      <w:r w:rsidRPr="00BB6CCA">
        <w:rPr>
          <w:b/>
          <w:i/>
          <w:sz w:val="32"/>
          <w:szCs w:val="32"/>
        </w:rPr>
        <w:t>Before the game:</w:t>
      </w:r>
    </w:p>
    <w:p w14:paraId="317513E8" w14:textId="77777777" w:rsidR="00144083" w:rsidRPr="00144083" w:rsidRDefault="00144083" w:rsidP="001440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4083">
        <w:rPr>
          <w:sz w:val="32"/>
          <w:szCs w:val="32"/>
        </w:rPr>
        <w:t>Ask if BCT testing will occur.</w:t>
      </w:r>
    </w:p>
    <w:p w14:paraId="73897096" w14:textId="77777777" w:rsidR="00144083" w:rsidRPr="00144083" w:rsidRDefault="00144083" w:rsidP="001440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4083">
        <w:rPr>
          <w:sz w:val="32"/>
          <w:szCs w:val="32"/>
        </w:rPr>
        <w:t>Obtain a sticker sample</w:t>
      </w:r>
      <w:r>
        <w:rPr>
          <w:sz w:val="32"/>
          <w:szCs w:val="32"/>
        </w:rPr>
        <w:t>.</w:t>
      </w:r>
    </w:p>
    <w:p w14:paraId="7AB12B5E" w14:textId="77777777" w:rsidR="00144083" w:rsidRPr="00144083" w:rsidRDefault="00144083" w:rsidP="001440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4083">
        <w:rPr>
          <w:sz w:val="32"/>
          <w:szCs w:val="32"/>
        </w:rPr>
        <w:t>Review as a crew Protocol</w:t>
      </w:r>
      <w:r>
        <w:rPr>
          <w:sz w:val="32"/>
          <w:szCs w:val="32"/>
        </w:rPr>
        <w:t>.</w:t>
      </w:r>
    </w:p>
    <w:p w14:paraId="79D99F2B" w14:textId="77777777" w:rsidR="00144083" w:rsidRDefault="00144083" w:rsidP="00144083">
      <w:pPr>
        <w:rPr>
          <w:sz w:val="32"/>
          <w:szCs w:val="32"/>
        </w:rPr>
      </w:pPr>
    </w:p>
    <w:p w14:paraId="2CBC35B9" w14:textId="77777777" w:rsidR="00144083" w:rsidRPr="00BB6CCA" w:rsidRDefault="00144083" w:rsidP="00144083">
      <w:pPr>
        <w:rPr>
          <w:b/>
          <w:i/>
          <w:sz w:val="32"/>
          <w:szCs w:val="32"/>
        </w:rPr>
      </w:pPr>
      <w:r w:rsidRPr="00BB6CCA">
        <w:rPr>
          <w:b/>
          <w:i/>
          <w:sz w:val="32"/>
          <w:szCs w:val="32"/>
        </w:rPr>
        <w:t>On the field:</w:t>
      </w:r>
    </w:p>
    <w:p w14:paraId="4B65D2D9" w14:textId="77777777" w:rsidR="00144083" w:rsidRDefault="00144083" w:rsidP="0014408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44083">
        <w:rPr>
          <w:sz w:val="32"/>
          <w:szCs w:val="32"/>
        </w:rPr>
        <w:t>Each team should present all bats intended for use during the game.</w:t>
      </w:r>
    </w:p>
    <w:p w14:paraId="1C56A41A" w14:textId="77777777" w:rsidR="00144083" w:rsidRDefault="00144083" w:rsidP="0014408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Each team shall present current NCAA Approved Softball Bat List.</w:t>
      </w:r>
    </w:p>
    <w:p w14:paraId="42E2480C" w14:textId="77777777" w:rsidR="00144083" w:rsidRDefault="00144083" w:rsidP="0014408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Each team shall highlight their bats on the list.</w:t>
      </w:r>
    </w:p>
    <w:p w14:paraId="7DF2BC96" w14:textId="77777777" w:rsidR="00144083" w:rsidRDefault="00144083" w:rsidP="0014408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Plate umpire will administer the Bat List.</w:t>
      </w:r>
    </w:p>
    <w:p w14:paraId="6439CA97" w14:textId="77777777" w:rsidR="00144083" w:rsidRDefault="00144083" w:rsidP="0014408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Base umpires will inspect the bats.</w:t>
      </w:r>
    </w:p>
    <w:p w14:paraId="181DE5B0" w14:textId="77777777" w:rsidR="00144083" w:rsidRDefault="00144083" w:rsidP="00144083">
      <w:pPr>
        <w:rPr>
          <w:sz w:val="32"/>
          <w:szCs w:val="32"/>
        </w:rPr>
      </w:pPr>
    </w:p>
    <w:p w14:paraId="4E015AD1" w14:textId="77777777" w:rsidR="00144083" w:rsidRPr="00BB6CCA" w:rsidRDefault="00144083" w:rsidP="00144083">
      <w:pPr>
        <w:rPr>
          <w:b/>
          <w:i/>
          <w:sz w:val="32"/>
          <w:szCs w:val="32"/>
        </w:rPr>
      </w:pPr>
      <w:r w:rsidRPr="00BB6CCA">
        <w:rPr>
          <w:b/>
          <w:i/>
          <w:sz w:val="32"/>
          <w:szCs w:val="32"/>
        </w:rPr>
        <w:t>Inspecting the Bats:</w:t>
      </w:r>
    </w:p>
    <w:p w14:paraId="2505E183" w14:textId="77777777" w:rsidR="00144083" w:rsidRDefault="00144083" w:rsidP="0014408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If Bats were BCT, identify the sticker.</w:t>
      </w:r>
    </w:p>
    <w:p w14:paraId="6DA93368" w14:textId="77777777" w:rsidR="00144083" w:rsidRDefault="00144083" w:rsidP="0014408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Ensure that the bats are suitable for play (no cracks or rattles…)</w:t>
      </w:r>
    </w:p>
    <w:p w14:paraId="0F260E4D" w14:textId="77777777" w:rsidR="00144083" w:rsidRDefault="00144083" w:rsidP="0014408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Each bat has 2004 ASA Certification Seal.</w:t>
      </w:r>
    </w:p>
    <w:p w14:paraId="41FF5AA4" w14:textId="77777777" w:rsidR="00144083" w:rsidRDefault="00144083" w:rsidP="0014408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Exact model on NCAA Approved Softball Bat List.</w:t>
      </w:r>
    </w:p>
    <w:p w14:paraId="7C452808" w14:textId="77777777" w:rsidR="00144083" w:rsidRDefault="00144083" w:rsidP="00144083">
      <w:pPr>
        <w:rPr>
          <w:sz w:val="32"/>
          <w:szCs w:val="32"/>
        </w:rPr>
      </w:pPr>
    </w:p>
    <w:p w14:paraId="041DAEAD" w14:textId="77777777" w:rsidR="00144083" w:rsidRPr="00BB6CCA" w:rsidRDefault="00144083" w:rsidP="00144083">
      <w:pPr>
        <w:rPr>
          <w:b/>
          <w:i/>
          <w:sz w:val="32"/>
          <w:szCs w:val="32"/>
        </w:rPr>
      </w:pPr>
      <w:r w:rsidRPr="00BB6CCA">
        <w:rPr>
          <w:b/>
          <w:i/>
          <w:sz w:val="32"/>
          <w:szCs w:val="32"/>
        </w:rPr>
        <w:t>After inspection:</w:t>
      </w:r>
    </w:p>
    <w:p w14:paraId="01C2C864" w14:textId="77777777" w:rsidR="00144083" w:rsidRDefault="00144083" w:rsidP="001440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Verify number of units.</w:t>
      </w:r>
    </w:p>
    <w:p w14:paraId="288E57E1" w14:textId="77777777" w:rsidR="00144083" w:rsidRDefault="00144083" w:rsidP="001440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Inform the coach if any bat failed.</w:t>
      </w:r>
    </w:p>
    <w:p w14:paraId="77CE2B61" w14:textId="77777777" w:rsidR="00144083" w:rsidRDefault="00144083" w:rsidP="001440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Reconcile number of units.</w:t>
      </w:r>
    </w:p>
    <w:p w14:paraId="3B631483" w14:textId="77777777" w:rsidR="00144083" w:rsidRDefault="00144083" w:rsidP="001440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Enter total number of bats, initial, date and game time.</w:t>
      </w:r>
    </w:p>
    <w:p w14:paraId="6316AB32" w14:textId="235C0D9B" w:rsidR="00144083" w:rsidRDefault="00E46903" w:rsidP="001440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On site administrator is responsible for securing damaged and inappropriate bats.</w:t>
      </w:r>
    </w:p>
    <w:p w14:paraId="77B2938C" w14:textId="77777777" w:rsidR="00BB6CCA" w:rsidRDefault="00BB6CCA" w:rsidP="00BB6CCA">
      <w:pPr>
        <w:rPr>
          <w:sz w:val="32"/>
          <w:szCs w:val="32"/>
        </w:rPr>
      </w:pPr>
    </w:p>
    <w:p w14:paraId="18D361C4" w14:textId="77777777" w:rsidR="00AC3844" w:rsidRDefault="00AC3844" w:rsidP="00BB6CCA">
      <w:pPr>
        <w:rPr>
          <w:b/>
          <w:i/>
          <w:sz w:val="32"/>
          <w:szCs w:val="32"/>
        </w:rPr>
      </w:pPr>
    </w:p>
    <w:p w14:paraId="005A5215" w14:textId="77777777" w:rsidR="00BB6CCA" w:rsidRDefault="00BB6CCA" w:rsidP="00BB6CCA">
      <w:pPr>
        <w:rPr>
          <w:b/>
          <w:i/>
          <w:sz w:val="32"/>
          <w:szCs w:val="32"/>
        </w:rPr>
      </w:pPr>
      <w:r w:rsidRPr="00BB6CCA">
        <w:rPr>
          <w:b/>
          <w:i/>
          <w:sz w:val="32"/>
          <w:szCs w:val="32"/>
        </w:rPr>
        <w:lastRenderedPageBreak/>
        <w:t xml:space="preserve">NOTE: Coaches </w:t>
      </w:r>
      <w:r w:rsidR="00740D41">
        <w:rPr>
          <w:b/>
          <w:i/>
          <w:sz w:val="32"/>
          <w:szCs w:val="32"/>
        </w:rPr>
        <w:t>shall keep their respective bat</w:t>
      </w:r>
      <w:r w:rsidRPr="00BB6CCA">
        <w:rPr>
          <w:b/>
          <w:i/>
          <w:sz w:val="32"/>
          <w:szCs w:val="32"/>
        </w:rPr>
        <w:t xml:space="preserve"> list. This list must be readily available during the game.  Coaches may use the same bat list for multiple games played on the same day.</w:t>
      </w:r>
    </w:p>
    <w:p w14:paraId="240B93BF" w14:textId="77777777" w:rsidR="00BB6CCA" w:rsidRDefault="00BB6CCA" w:rsidP="00BB6CCA">
      <w:pPr>
        <w:rPr>
          <w:b/>
          <w:i/>
          <w:sz w:val="32"/>
          <w:szCs w:val="32"/>
        </w:rPr>
      </w:pPr>
    </w:p>
    <w:p w14:paraId="6B2FCEFE" w14:textId="77777777" w:rsidR="00CA6D34" w:rsidRDefault="00CA6D34" w:rsidP="00BB6CCA">
      <w:pPr>
        <w:rPr>
          <w:b/>
          <w:i/>
          <w:sz w:val="32"/>
          <w:szCs w:val="32"/>
        </w:rPr>
      </w:pPr>
    </w:p>
    <w:tbl>
      <w:tblPr>
        <w:tblW w:w="13852" w:type="dxa"/>
        <w:tblInd w:w="-1584" w:type="dxa"/>
        <w:tblLook w:val="04A0" w:firstRow="1" w:lastRow="0" w:firstColumn="1" w:lastColumn="0" w:noHBand="0" w:noVBand="1"/>
      </w:tblPr>
      <w:tblGrid>
        <w:gridCol w:w="610"/>
        <w:gridCol w:w="1988"/>
        <w:gridCol w:w="1331"/>
        <w:gridCol w:w="1748"/>
        <w:gridCol w:w="1790"/>
        <w:gridCol w:w="1439"/>
        <w:gridCol w:w="1331"/>
        <w:gridCol w:w="1075"/>
        <w:gridCol w:w="1060"/>
        <w:gridCol w:w="1060"/>
        <w:gridCol w:w="420"/>
      </w:tblGrid>
      <w:tr w:rsidR="00A72E6E" w:rsidRPr="00A72E6E" w14:paraId="4CF770C8" w14:textId="77777777" w:rsidTr="00A72E6E">
        <w:trPr>
          <w:trHeight w:val="280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EE0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2130B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EXAMPLE: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491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9C5C1C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8D11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86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8A3982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F4CA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A494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845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C5A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581833F8" w14:textId="77777777" w:rsidTr="00A72E6E">
        <w:trPr>
          <w:trHeight w:val="280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8950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A80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NCAA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69A4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Approved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8289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Softball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96F6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Bat List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495D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123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Team :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B914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sample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42F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603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70E7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19893097" w14:textId="77777777" w:rsidTr="00A72E6E">
        <w:trPr>
          <w:trHeight w:val="280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9A12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A60" w14:textId="77777777" w:rsidR="00A72E6E" w:rsidRPr="00A72E6E" w:rsidRDefault="00A72E6E" w:rsidP="00A72E6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Jan-14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370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F33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E0D3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AF96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B20F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B581" w14:textId="77777777" w:rsidR="00A72E6E" w:rsidRPr="00A72E6E" w:rsidRDefault="00A72E6E" w:rsidP="00A72E6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2/27/14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D75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6818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4DBE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3C2EC8C1" w14:textId="77777777" w:rsidTr="00A72E6E">
        <w:trPr>
          <w:trHeight w:val="280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E08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B631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Bat models listed herein are placed on the list by the manufacturer because the manufacturer believes them to be appropriate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551C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EECF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5AA9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2E6E" w:rsidRPr="00A72E6E" w14:paraId="2FA266EB" w14:textId="77777777" w:rsidTr="00A72E6E">
        <w:trPr>
          <w:trHeight w:val="280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794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07C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to</w:t>
            </w:r>
            <w:proofErr w:type="gram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the collegiate </w:t>
            </w:r>
            <w:proofErr w:type="spell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fastpitch</w:t>
            </w:r>
            <w:proofErr w:type="spell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game and in compliance with the batted ball exit speed standard of less than 98 mph.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7AF2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4FF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479F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2E6E" w:rsidRPr="00A72E6E" w14:paraId="2A082E30" w14:textId="77777777" w:rsidTr="00A72E6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1C2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5198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Placement of bats on </w:t>
            </w: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the  NCAA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Approved Softball Bat List does not guarantee, or otherwise mean, compliance with ASA/NCAA standards. 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6C1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2F58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05A8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AD5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29677F00" w14:textId="77777777" w:rsidTr="00A72E6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B4F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C27A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Such placement is based on manufacturers' representations that they do so comply, and institutions take on the risk that bats may not so comply.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28D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18B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B225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2B15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63E68F64" w14:textId="77777777" w:rsidTr="00A72E6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99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D705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Manufacturers are responsible for, and liable for any damages resulting from, any misrepresentations associated with the same.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7EC8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B6B0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4725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1BAD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60C8E977" w14:textId="77777777" w:rsidTr="00A72E6E">
        <w:trPr>
          <w:trHeight w:val="31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7DD7A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strike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98453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Adidas models (2)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A55701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alloy</w:t>
            </w:r>
            <w:proofErr w:type="gram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/comp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07A863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model</w:t>
            </w:r>
            <w:proofErr w:type="gram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D3D4E0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shell</w:t>
            </w:r>
            <w:proofErr w:type="gram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color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A795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stencil</w:t>
            </w:r>
            <w:proofErr w:type="gram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color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D7132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# </w:t>
            </w: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units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C514C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AB0D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CE6A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74A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59BD64E6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768A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D4CB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FPVQSH2K11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51EB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composite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80D3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Vanquish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2D22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white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3AA1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blue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/yellow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250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5983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BEC0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7C28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B0C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4E3862A7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7B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3015A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FPVQSH2K10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7CCC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composite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814D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Vanquish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50D9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silver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599C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blue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/white/yellow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3E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A4F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D4AC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D1BA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C786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5D4F7C43" w14:textId="77777777" w:rsidTr="00A72E6E">
        <w:trPr>
          <w:trHeight w:val="31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D8DF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strike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ACFD4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Anderson models (29)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7D4285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alloy</w:t>
            </w:r>
            <w:proofErr w:type="gram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/comp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6DA4DC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model</w:t>
            </w:r>
            <w:proofErr w:type="gram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5A5CC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shell</w:t>
            </w:r>
            <w:proofErr w:type="gram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color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5D67F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stencil</w:t>
            </w:r>
            <w:proofErr w:type="gramEnd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color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229351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# </w:t>
            </w:r>
            <w:proofErr w:type="gramStart"/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units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A415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D2A4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B938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5270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E6E" w:rsidRPr="00A72E6E" w14:paraId="5F9D3BEB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ED8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CC4AE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011030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629CD2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single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wall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26E56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NanoTek</w:t>
            </w:r>
            <w:proofErr w:type="spell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SP Alpha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3B745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white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/black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EAF1D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blue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755" w14:textId="77777777" w:rsidR="00A72E6E" w:rsidRPr="00A72E6E" w:rsidRDefault="00A72E6E" w:rsidP="00A72E6E">
            <w:pPr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85E0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ump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2/17/14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AEB9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F2EE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7AE3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72E6E" w:rsidRPr="00A72E6E" w14:paraId="3F68BE60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7DF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2D2B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011031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AAC8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single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wall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A8692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NanoTek</w:t>
            </w:r>
            <w:proofErr w:type="spell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SP Omega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977D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white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/black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379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blue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9C8A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229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C722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39BE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186C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72E6E" w:rsidRPr="00A72E6E" w14:paraId="3BD16104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C3B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547BA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011032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91AB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double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wall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A4AE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RockeTek</w:t>
            </w:r>
            <w:proofErr w:type="spell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SP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93F0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red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/blue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D6A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white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F99F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8DB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F936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351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44D5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72E6E" w:rsidRPr="00A72E6E" w14:paraId="17EEA81F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B4C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9BB7728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011033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D7283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double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wall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42E113B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Techzilla</w:t>
            </w:r>
            <w:proofErr w:type="spell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SP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57E311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blue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EECD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green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8D6" w14:textId="77777777" w:rsidR="00A72E6E" w:rsidRPr="00A72E6E" w:rsidRDefault="00A72E6E" w:rsidP="00A72E6E">
            <w:pPr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4FF1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ump2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/17/14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C777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DDE5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6D7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72E6E" w:rsidRPr="00A72E6E" w14:paraId="3FA5B6FF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61B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562A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011034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66AD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single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wall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DD9E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Ignite SP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E43CB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black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B5C3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orange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CB5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37E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BEBC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0B04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4E54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72E6E" w:rsidRPr="00A72E6E" w14:paraId="0DA32CD1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1D3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0ADB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011035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F9D0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multiwall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D6558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FlexZilla</w:t>
            </w:r>
            <w:proofErr w:type="spell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SP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D76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black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778C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grey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 red/ white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E9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90D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33BE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879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4BE3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72E6E" w:rsidRPr="00A72E6E" w14:paraId="55E6BF36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103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color w:val="0000FF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AC47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011036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0981A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multiwall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7C2C2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RocketFlex</w:t>
            </w:r>
            <w:proofErr w:type="spell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SP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777DB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black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BBD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red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 white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22F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color w:val="0000FF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F3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color w:val="0000FF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382A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6C29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6F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</w:p>
        </w:tc>
      </w:tr>
      <w:tr w:rsidR="00A72E6E" w:rsidRPr="00A72E6E" w14:paraId="4FB58EE5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674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05DB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017005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8104A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multi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wall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5ECC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RockeTech</w:t>
            </w:r>
            <w:proofErr w:type="spell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FP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97EE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red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taper/blue barrel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AB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red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/silver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285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11E8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0A2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C809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0286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72E6E" w:rsidRPr="00A72E6E" w14:paraId="611B4F7B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B439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997B2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017006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D48DC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single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wall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0C51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PyroTech</w:t>
            </w:r>
            <w:proofErr w:type="spell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FP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55E72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light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grey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079D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silver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/red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07D2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F1D0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68F7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B29B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D35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72E6E" w:rsidRPr="00A72E6E" w14:paraId="7A42DEF8" w14:textId="77777777" w:rsidTr="00A72E6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AC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C7AF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017007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58EE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multi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wall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E7E6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RockeTech</w:t>
            </w:r>
            <w:proofErr w:type="spell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FP (-9)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3E407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red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taper/silver barrel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9346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black</w:t>
            </w:r>
            <w:proofErr w:type="gramEnd"/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/red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6C8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2E4" w14:textId="77777777" w:rsidR="00A72E6E" w:rsidRPr="00A72E6E" w:rsidRDefault="00A72E6E" w:rsidP="00A72E6E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2E6E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E5AC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C03E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CC50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72E6E" w:rsidRPr="00A72E6E" w14:paraId="497589FC" w14:textId="77777777" w:rsidTr="00A72E6E">
        <w:trPr>
          <w:trHeight w:val="280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BBFD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2E6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C854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1C41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601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5DA4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17FF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6D0E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647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B15D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393D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CE0C" w14:textId="77777777" w:rsidR="00A72E6E" w:rsidRPr="00A72E6E" w:rsidRDefault="00A72E6E" w:rsidP="00A72E6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3D3B6A67" w14:textId="77777777" w:rsidR="00CA6D34" w:rsidRDefault="00CA6D34" w:rsidP="00BB6CCA">
      <w:pPr>
        <w:rPr>
          <w:b/>
          <w:i/>
          <w:sz w:val="32"/>
          <w:szCs w:val="32"/>
        </w:rPr>
      </w:pPr>
    </w:p>
    <w:p w14:paraId="2B6DD3CD" w14:textId="77777777" w:rsidR="00CA6D34" w:rsidRDefault="00CA6D34" w:rsidP="00BB6CCA">
      <w:pPr>
        <w:rPr>
          <w:b/>
          <w:i/>
          <w:sz w:val="32"/>
          <w:szCs w:val="32"/>
        </w:rPr>
      </w:pPr>
    </w:p>
    <w:p w14:paraId="2F6325E8" w14:textId="77777777" w:rsidR="00BB6CCA" w:rsidRPr="00BB6CCA" w:rsidRDefault="00BB6CCA" w:rsidP="00BB6CCA">
      <w:pPr>
        <w:rPr>
          <w:b/>
          <w:i/>
          <w:sz w:val="32"/>
          <w:szCs w:val="32"/>
        </w:rPr>
      </w:pPr>
      <w:r w:rsidRPr="00BB6CCA">
        <w:rPr>
          <w:b/>
          <w:i/>
          <w:sz w:val="32"/>
          <w:szCs w:val="32"/>
        </w:rPr>
        <w:t>After the game when bat(s) have been pulled…</w:t>
      </w:r>
    </w:p>
    <w:p w14:paraId="09B2053C" w14:textId="77777777" w:rsidR="00BB6CCA" w:rsidRDefault="00BB6CCA" w:rsidP="00BB6CC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Obtain the manufacturer, Model, Model name, reason it was pulled and team name.</w:t>
      </w:r>
    </w:p>
    <w:p w14:paraId="0D7F7B02" w14:textId="77777777" w:rsidR="00BB6CCA" w:rsidRDefault="00BB6CCA" w:rsidP="00BB6CC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Return bat(s) to respective team(s).</w:t>
      </w:r>
    </w:p>
    <w:p w14:paraId="6E9EB5A5" w14:textId="77777777" w:rsidR="00BB6CCA" w:rsidRDefault="00BB6CCA" w:rsidP="00BB6CC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Plate umpire must submit incident report within 24 hours.</w:t>
      </w:r>
    </w:p>
    <w:p w14:paraId="59AB6470" w14:textId="77777777" w:rsidR="00BB6CCA" w:rsidRDefault="00BB6CCA" w:rsidP="00BB6CCA">
      <w:pPr>
        <w:rPr>
          <w:sz w:val="32"/>
          <w:szCs w:val="32"/>
        </w:rPr>
      </w:pPr>
    </w:p>
    <w:p w14:paraId="1F39134D" w14:textId="77777777" w:rsidR="00A7668A" w:rsidRDefault="00A7668A" w:rsidP="00BB6CCA">
      <w:pPr>
        <w:rPr>
          <w:b/>
          <w:i/>
          <w:sz w:val="32"/>
          <w:szCs w:val="32"/>
        </w:rPr>
      </w:pPr>
    </w:p>
    <w:p w14:paraId="6BA6390D" w14:textId="77777777" w:rsidR="00A7668A" w:rsidRDefault="00A7668A" w:rsidP="00BB6CCA">
      <w:pPr>
        <w:rPr>
          <w:b/>
          <w:i/>
          <w:sz w:val="32"/>
          <w:szCs w:val="32"/>
        </w:rPr>
      </w:pPr>
    </w:p>
    <w:p w14:paraId="62E79DE2" w14:textId="77777777" w:rsidR="00BB6CCA" w:rsidRDefault="00740D41" w:rsidP="00BB6CC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Regular season</w:t>
      </w:r>
      <w:r w:rsidR="00A72E6E">
        <w:rPr>
          <w:b/>
          <w:i/>
          <w:sz w:val="32"/>
          <w:szCs w:val="32"/>
        </w:rPr>
        <w:t xml:space="preserve"> games:</w:t>
      </w:r>
    </w:p>
    <w:p w14:paraId="6AA0D22C" w14:textId="77777777" w:rsidR="00740D41" w:rsidRDefault="00740D41" w:rsidP="00A72E6E">
      <w:pPr>
        <w:ind w:firstLine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If BCT testing has occurred</w:t>
      </w:r>
      <w:r w:rsidR="00A7668A">
        <w:rPr>
          <w:b/>
          <w:i/>
          <w:sz w:val="32"/>
          <w:szCs w:val="32"/>
        </w:rPr>
        <w:t>:</w:t>
      </w:r>
    </w:p>
    <w:p w14:paraId="36ABD17B" w14:textId="77777777" w:rsidR="0064440D" w:rsidRDefault="00C051B2" w:rsidP="00EC13E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C13E8">
        <w:rPr>
          <w:sz w:val="32"/>
          <w:szCs w:val="32"/>
        </w:rPr>
        <w:t>Following the first game of a doubleheader, series or tournament, the umpire crew need only confirm the suitability of each bat by checking</w:t>
      </w:r>
      <w:r w:rsidR="00EC13E8" w:rsidRPr="00EC13E8">
        <w:rPr>
          <w:sz w:val="32"/>
          <w:szCs w:val="32"/>
        </w:rPr>
        <w:t xml:space="preserve"> for damage and verify the total number of available, stickered bats rather than reconcile each individual model of bat with the team’s highlighted bat list.</w:t>
      </w:r>
    </w:p>
    <w:p w14:paraId="789019F2" w14:textId="77777777" w:rsidR="00EC13E8" w:rsidRPr="00EC13E8" w:rsidRDefault="00EC13E8" w:rsidP="00EC13E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Exception: if a new bat list is published when a series or tournament is in progress, Rule 3.3.4.1.1 shall not apply and each bat model shall be individually reconciled with the new NCAA Approved Softball Bat List.</w:t>
      </w:r>
    </w:p>
    <w:p w14:paraId="4B4056F1" w14:textId="77777777" w:rsidR="00A7668A" w:rsidRPr="00EC13E8" w:rsidRDefault="00A7668A" w:rsidP="00A72E6E">
      <w:pPr>
        <w:ind w:firstLine="720"/>
        <w:rPr>
          <w:sz w:val="32"/>
          <w:szCs w:val="32"/>
        </w:rPr>
      </w:pPr>
      <w:r w:rsidRPr="00EC13E8">
        <w:rPr>
          <w:sz w:val="32"/>
          <w:szCs w:val="32"/>
        </w:rPr>
        <w:tab/>
      </w:r>
    </w:p>
    <w:p w14:paraId="7E544978" w14:textId="77777777" w:rsidR="00A7668A" w:rsidRDefault="00A7668A" w:rsidP="00A72E6E">
      <w:pPr>
        <w:ind w:firstLine="720"/>
        <w:rPr>
          <w:b/>
          <w:i/>
          <w:sz w:val="32"/>
          <w:szCs w:val="32"/>
        </w:rPr>
      </w:pPr>
    </w:p>
    <w:p w14:paraId="02936C58" w14:textId="77777777" w:rsidR="00740D41" w:rsidRDefault="00740D41" w:rsidP="00BB6CCA">
      <w:pPr>
        <w:rPr>
          <w:b/>
          <w:i/>
          <w:sz w:val="32"/>
          <w:szCs w:val="32"/>
        </w:rPr>
      </w:pPr>
    </w:p>
    <w:p w14:paraId="6CB0273C" w14:textId="77777777" w:rsidR="00740D41" w:rsidRDefault="00740D41" w:rsidP="00EC13E8">
      <w:pPr>
        <w:ind w:firstLine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If</w:t>
      </w:r>
      <w:r w:rsidR="00EC13E8">
        <w:rPr>
          <w:b/>
          <w:i/>
          <w:sz w:val="32"/>
          <w:szCs w:val="32"/>
        </w:rPr>
        <w:t xml:space="preserve"> BCT testing did not occur:</w:t>
      </w:r>
    </w:p>
    <w:p w14:paraId="3CDE1CA4" w14:textId="77777777" w:rsidR="00BB6CCA" w:rsidRDefault="00EC13E8" w:rsidP="00BB6CCA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Repeat the procedure before each game.</w:t>
      </w:r>
    </w:p>
    <w:p w14:paraId="2FFD8317" w14:textId="77777777" w:rsidR="00740D41" w:rsidRPr="00740D41" w:rsidRDefault="00740D41" w:rsidP="00740D41">
      <w:pPr>
        <w:rPr>
          <w:sz w:val="32"/>
          <w:szCs w:val="32"/>
        </w:rPr>
      </w:pPr>
    </w:p>
    <w:p w14:paraId="2B9AD615" w14:textId="77777777" w:rsidR="00BB6CCA" w:rsidRDefault="00BB6CCA" w:rsidP="00BB6CCA">
      <w:pPr>
        <w:rPr>
          <w:sz w:val="32"/>
          <w:szCs w:val="32"/>
        </w:rPr>
      </w:pPr>
    </w:p>
    <w:p w14:paraId="6E13BD77" w14:textId="77777777" w:rsidR="00BB6CCA" w:rsidRDefault="00BB6CCA" w:rsidP="00BB6CCA">
      <w:pPr>
        <w:rPr>
          <w:sz w:val="32"/>
          <w:szCs w:val="32"/>
        </w:rPr>
      </w:pPr>
    </w:p>
    <w:p w14:paraId="06587645" w14:textId="77777777" w:rsidR="00BB6CCA" w:rsidRPr="00BB6CCA" w:rsidRDefault="00BB6CCA" w:rsidP="00C5665E">
      <w:pPr>
        <w:tabs>
          <w:tab w:val="left" w:pos="0"/>
        </w:tabs>
        <w:rPr>
          <w:sz w:val="32"/>
          <w:szCs w:val="32"/>
        </w:rPr>
      </w:pPr>
    </w:p>
    <w:sectPr w:rsidR="00BB6CCA" w:rsidRPr="00BB6CCA" w:rsidSect="00D44A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ADA"/>
    <w:multiLevelType w:val="hybridMultilevel"/>
    <w:tmpl w:val="E48EC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175339"/>
    <w:multiLevelType w:val="hybridMultilevel"/>
    <w:tmpl w:val="D23C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B29"/>
    <w:multiLevelType w:val="hybridMultilevel"/>
    <w:tmpl w:val="36F25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439ED"/>
    <w:multiLevelType w:val="hybridMultilevel"/>
    <w:tmpl w:val="D81EB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E87C48"/>
    <w:multiLevelType w:val="hybridMultilevel"/>
    <w:tmpl w:val="2DC09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844FF5"/>
    <w:multiLevelType w:val="hybridMultilevel"/>
    <w:tmpl w:val="5D2CD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9D1567"/>
    <w:multiLevelType w:val="hybridMultilevel"/>
    <w:tmpl w:val="E8B27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3"/>
    <w:rsid w:val="00144083"/>
    <w:rsid w:val="001973BA"/>
    <w:rsid w:val="001E6205"/>
    <w:rsid w:val="0064440D"/>
    <w:rsid w:val="00740D41"/>
    <w:rsid w:val="00A72E6E"/>
    <w:rsid w:val="00A7668A"/>
    <w:rsid w:val="00AC3844"/>
    <w:rsid w:val="00BB6CCA"/>
    <w:rsid w:val="00C051B2"/>
    <w:rsid w:val="00C5665E"/>
    <w:rsid w:val="00CA6D34"/>
    <w:rsid w:val="00D44A90"/>
    <w:rsid w:val="00E46903"/>
    <w:rsid w:val="00E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836E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6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6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3148</Characters>
  <Application>Microsoft Macintosh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Donna Vavrinec</dc:creator>
  <cp:keywords/>
  <dc:description/>
  <cp:lastModifiedBy>Donna Donna Vavrinec</cp:lastModifiedBy>
  <cp:revision>2</cp:revision>
  <dcterms:created xsi:type="dcterms:W3CDTF">2014-05-02T01:00:00Z</dcterms:created>
  <dcterms:modified xsi:type="dcterms:W3CDTF">2014-05-02T01:00:00Z</dcterms:modified>
</cp:coreProperties>
</file>